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00.11.2024</w:t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8"/>
        <w:jc w:val="center"/>
        <w:spacing w:line="36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  <w:t xml:space="preserve">Самарский Росреестр в составе жюри принял участие в региональном конкурсе «Лучший МФЦ Самарской области»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color w:val="000000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Cs/>
          <w:i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 областной столице прошел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финальный этап регионального конкурса «Лучший МФЦ </w:t>
      </w:r>
      <w:hyperlink r:id="rId9" w:tooltip="https://vk.com/club168469553" w:history="1">
        <w:r>
          <w:rPr>
            <w:rStyle w:val="814"/>
            <w:rFonts w:ascii="Tinos" w:hAnsi="Tinos" w:eastAsia="Tinos" w:cs="Tinos"/>
            <w:color w:val="000000"/>
            <w:sz w:val="28"/>
            <w:szCs w:val="28"/>
            <w:highlight w:val="white"/>
            <w:u w:val="none"/>
          </w:rPr>
          <w:t xml:space="preserve">Самарской области</w:t>
        </w:r>
      </w:hyperlink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».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В 63-м регионе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данный конкурс проводится в 10-й раз.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 работе жюри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приняла участие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заместитель руководителя самарского Росреестра Татьяна Титова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.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color w:val="000000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Ц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ель конкурса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– оценка  профессионализма и квалификации, а также повышение престижа профессии отрасли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Мероприятие проводилось по четырем номинациям: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«Лучший универсальный специалист МФЦ», «Лучший наставник МФЦ», «Лучший проект МФЦ», «Лучший МФЦ».</w:t>
      </w:r>
      <w:r>
        <w:rPr>
          <w:rFonts w:ascii="Tinos" w:hAnsi="Tinos" w:eastAsia="Tinos" w:cs="Tinos"/>
          <w:color w:val="000000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color w:val="000000" w:themeColor="text1"/>
          <w:sz w:val="32"/>
          <w:szCs w:val="32"/>
          <w:highlight w:val="none"/>
        </w:rPr>
      </w:pPr>
      <w:r>
        <w:rPr>
          <w:rFonts w:ascii="Tinos" w:hAnsi="Tinos" w:eastAsia="Tinos" w:cs="Tinos" w:eastAsiaTheme="minorEastAsia"/>
          <w:i/>
          <w:iCs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nos" w:hAnsi="Tinos" w:cs="Tinos" w:eastAsiaTheme="minorEastAsia"/>
          <w:i/>
          <w:iCs/>
          <w:color w:val="000000" w:themeColor="text1"/>
          <w:sz w:val="28"/>
          <w:szCs w:val="28"/>
          <w:lang w:eastAsia="ru-RU"/>
        </w:rPr>
        <w:t xml:space="preserve">Количество услуг, которые оказывают специалисты, измеряется колоссальными цифрами, поэтому для каждого участника конкурса важна прежде всего профессиональная компетенция. </w:t>
      </w:r>
      <w:r>
        <w:rPr>
          <w:rFonts w:ascii="Tinos" w:hAnsi="Tinos" w:cs="Tinos" w:eastAsiaTheme="minorEastAsia"/>
          <w:i/>
          <w:iCs/>
          <w:color w:val="000000" w:themeColor="text1"/>
          <w:sz w:val="28"/>
          <w:szCs w:val="28"/>
          <w:lang w:eastAsia="ru-RU"/>
        </w:rPr>
        <w:t xml:space="preserve">Только относительно услуг Росреестра, за 10 месяцев этого года было принято более 300 тыс. заявлений на учетно-регистрационные действия,</w:t>
      </w:r>
      <w:r>
        <w:rPr>
          <w:rFonts w:ascii="Tinos" w:hAnsi="Tinos" w:eastAsia="Tinos" w:cs="Tinos" w:eastAsiaTheme="minorEastAsia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 w:eastAsiaTheme="minorEastAsia"/>
          <w:color w:val="000000" w:themeColor="text1"/>
          <w:sz w:val="28"/>
          <w:szCs w:val="28"/>
          <w:lang w:eastAsia="ru-RU"/>
        </w:rPr>
        <w:t xml:space="preserve">– отмечает </w:t>
      </w:r>
      <w:r>
        <w:rPr>
          <w:rFonts w:ascii="Tinos" w:hAnsi="Tinos" w:eastAsia="Tinos" w:cs="Tinos" w:eastAsiaTheme="minorEastAsia"/>
          <w:b w:val="0"/>
          <w:bCs w:val="0"/>
          <w:color w:val="000000" w:themeColor="text1"/>
          <w:sz w:val="28"/>
          <w:szCs w:val="28"/>
          <w:lang w:eastAsia="ru-RU"/>
        </w:rPr>
        <w:t xml:space="preserve">заместитель руководителя самарского Росреестра </w:t>
      </w:r>
      <w:r>
        <w:rPr>
          <w:rFonts w:ascii="Tinos" w:hAnsi="Tinos" w:eastAsia="Tinos" w:cs="Tinos" w:eastAsiaTheme="minorEastAsia"/>
          <w:b/>
          <w:bCs/>
          <w:color w:val="000000" w:themeColor="text1"/>
          <w:sz w:val="28"/>
          <w:szCs w:val="28"/>
          <w:lang w:eastAsia="ru-RU"/>
        </w:rPr>
        <w:t xml:space="preserve">Татьяна Титова.</w:t>
      </w:r>
      <w:r>
        <w:rPr>
          <w:rFonts w:ascii="Tinos" w:hAnsi="Tinos" w:eastAsia="Tinos" w:cs="Tinos" w:eastAsiaTheme="minorEastAsia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nos" w:hAnsi="Tinos" w:cs="Tinos" w:eastAsiaTheme="minorEastAsia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 w:eastAsiaTheme="minorEastAsia"/>
          <w:i/>
          <w:iCs/>
          <w:color w:val="000000" w:themeColor="text1"/>
          <w:sz w:val="28"/>
          <w:szCs w:val="28"/>
          <w:lang w:eastAsia="ru-RU"/>
        </w:rPr>
        <w:t xml:space="preserve">Высокий профессиональный уровень сотрудников МФЦ обеспечивает готовность отрасли к освоению новых перспективных подходов и передовых технологий. </w:t>
      </w:r>
      <w:r>
        <w:rPr>
          <w:rFonts w:ascii="Tinos" w:hAnsi="Tinos" w:cs="Tinos" w:eastAsiaTheme="minorEastAsia"/>
          <w:i/>
          <w:iCs/>
          <w:color w:val="000000" w:themeColor="text1"/>
          <w:sz w:val="28"/>
          <w:szCs w:val="28"/>
          <w:lang w:eastAsia="ru-RU"/>
        </w:rPr>
        <w:t xml:space="preserve">Хотим пожелать</w:t>
      </w:r>
      <w:r>
        <w:rPr>
          <w:rFonts w:ascii="Tinos" w:hAnsi="Tinos" w:eastAsia="Tinos" w:cs="Tinos" w:eastAsiaTheme="minorEastAsia"/>
          <w:i/>
          <w:iCs/>
          <w:color w:val="000000" w:themeColor="text1"/>
          <w:sz w:val="28"/>
          <w:szCs w:val="28"/>
          <w:lang w:eastAsia="ru-RU"/>
        </w:rPr>
        <w:t xml:space="preserve"> специалистам МФЦ</w:t>
      </w:r>
      <w:r>
        <w:rPr>
          <w:rFonts w:ascii="Tinos" w:hAnsi="Tinos" w:eastAsia="Tinos" w:cs="Tinos" w:eastAsiaTheme="minorEastAsia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 w:eastAsiaTheme="minorEastAsia"/>
          <w:i/>
          <w:iCs/>
          <w:color w:val="000000" w:themeColor="text1"/>
          <w:sz w:val="28"/>
          <w:szCs w:val="28"/>
          <w:lang w:eastAsia="ru-RU"/>
        </w:rPr>
        <w:t xml:space="preserve">дальнейших достижений</w:t>
      </w:r>
      <w:r>
        <w:rPr>
          <w:rFonts w:ascii="Tinos" w:hAnsi="Tinos" w:eastAsia="Tinos" w:cs="Tinos" w:eastAsiaTheme="minorEastAsia"/>
          <w:i/>
          <w:iCs/>
          <w:color w:val="000000" w:themeColor="text1"/>
          <w:sz w:val="28"/>
          <w:szCs w:val="28"/>
          <w:lang w:eastAsia="ru-RU"/>
        </w:rPr>
        <w:t xml:space="preserve"> во благо региона!</w:t>
      </w:r>
      <w:r>
        <w:rPr>
          <w:rFonts w:ascii="Tinos" w:hAnsi="Tinos" w:eastAsia="Tinos" w:cs="Tinos"/>
          <w:bCs/>
          <w:i/>
          <w:iCs/>
          <w:color w:val="000000" w:themeColor="text1"/>
          <w:sz w:val="28"/>
          <w:szCs w:val="28"/>
          <w:highlight w:val="none"/>
          <w14:ligatures w14:val="none"/>
        </w:rPr>
        <w:t xml:space="preserve">»</w:t>
      </w:r>
      <w:r>
        <w:rPr>
          <w:rFonts w:ascii="Tinos" w:hAnsi="Tinos" w:cs="Tinos"/>
          <w:color w:val="000000" w:themeColor="text1"/>
          <w:sz w:val="32"/>
          <w:szCs w:val="32"/>
          <w:highlight w:val="none"/>
        </w:rPr>
      </w:r>
      <w:r>
        <w:rPr>
          <w:rFonts w:ascii="Tinos" w:hAnsi="Tinos" w:cs="Tinos"/>
          <w:color w:val="000000" w:themeColor="text1"/>
          <w:sz w:val="32"/>
          <w:szCs w:val="32"/>
          <w:highlight w:val="none"/>
        </w:rPr>
      </w:r>
    </w:p>
    <w:p>
      <w:pPr>
        <w:jc w:val="both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65592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rPr>
          <w:rFonts w:ascii="Times New Roman" w:hAnsi="Times New Roman" w:eastAsia="Calibri" w:cs="Times New Roman"/>
          <w:color w:val="0f0f0f"/>
        </w:rPr>
      </w:pPr>
      <w:r>
        <w:rPr>
          <w:rFonts w:ascii="Times New Roman" w:hAnsi="Times New Roman" w:eastAsia="Calibri" w:cs="Times New Roman"/>
          <w:color w:val="0f0f0f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</w:rPr>
      </w:r>
      <w:r>
        <w:rPr>
          <w:rFonts w:ascii="Times New Roman" w:hAnsi="Times New Roman" w:eastAsia="Calibri" w:cs="Times New Roman"/>
          <w:color w:val="0f0f0f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0f0f0f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vk.com/club168469553" TargetMode="External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23</cp:revision>
  <dcterms:created xsi:type="dcterms:W3CDTF">2024-11-12T07:29:00Z</dcterms:created>
  <dcterms:modified xsi:type="dcterms:W3CDTF">2024-12-05T06:00:51Z</dcterms:modified>
</cp:coreProperties>
</file>